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4438CD" w:rsidRDefault="001C7610">
      <w:pPr>
        <w:rPr>
          <w:b/>
        </w:rPr>
      </w:pPr>
      <w:r>
        <w:rPr>
          <w:b/>
        </w:rPr>
        <w:t>What counselors should know about helping at risk students with college choice and transition</w:t>
      </w:r>
    </w:p>
    <w:p w14:paraId="00000002" w14:textId="77777777" w:rsidR="004438CD" w:rsidRDefault="001C7610">
      <w:pPr>
        <w:rPr>
          <w:b/>
          <w:i/>
        </w:rPr>
      </w:pPr>
      <w:r>
        <w:rPr>
          <w:b/>
          <w:i/>
        </w:rPr>
        <w:t>By Victor Schwartz, MD</w:t>
      </w:r>
    </w:p>
    <w:p w14:paraId="00000003" w14:textId="77777777" w:rsidR="004438CD" w:rsidRDefault="001C7610">
      <w:pPr>
        <w:rPr>
          <w:b/>
          <w:i/>
        </w:rPr>
      </w:pPr>
      <w:r>
        <w:rPr>
          <w:b/>
          <w:i/>
        </w:rPr>
        <w:t>Past Medical Director of the JED Foundation</w:t>
      </w:r>
    </w:p>
    <w:p w14:paraId="00000004" w14:textId="77777777" w:rsidR="004438CD" w:rsidRDefault="001C7610">
      <w:pPr>
        <w:rPr>
          <w:b/>
          <w:i/>
        </w:rPr>
      </w:pPr>
      <w:r>
        <w:rPr>
          <w:b/>
          <w:i/>
        </w:rPr>
        <w:t>Guest resource for Suicide in Schools, 2</w:t>
      </w:r>
      <w:r>
        <w:rPr>
          <w:b/>
          <w:i/>
          <w:vertAlign w:val="superscript"/>
        </w:rPr>
        <w:t>nd</w:t>
      </w:r>
      <w:r>
        <w:rPr>
          <w:b/>
          <w:i/>
        </w:rPr>
        <w:t xml:space="preserve"> Edition</w:t>
      </w:r>
    </w:p>
    <w:p w14:paraId="00000005" w14:textId="77777777" w:rsidR="004438CD" w:rsidRDefault="001C7610">
      <w:bookmarkStart w:id="0" w:name="_heading=h.gjdgxs" w:colFirst="0" w:colLast="0"/>
      <w:bookmarkEnd w:id="0"/>
      <w:r>
        <w:t>Applying to and choosing a college and the transition from high school to college life are emotionally challenging for most young people. While this is an exciting and important step toward becoming an adult, living more independently (especially for those who leave home to live at college) and being responsible for one’s self care and other personal decisions can be anxiety provoking.  For young people dealing with serious mental illness or suicidal thoughts and behaviors (STB) and those helping them navigate this process, there are additional important considerations and challenges. Plans for college attendance and the details of these choices should ideally be coordinated collaboratively by the student, family, college advisers and clinical treatment team.</w:t>
      </w:r>
    </w:p>
    <w:p w14:paraId="00000006" w14:textId="77777777" w:rsidR="004438CD" w:rsidRDefault="001C7610">
      <w:pPr>
        <w:rPr>
          <w:b/>
        </w:rPr>
      </w:pPr>
      <w:r>
        <w:rPr>
          <w:b/>
        </w:rPr>
        <w:t>College Choice</w:t>
      </w:r>
    </w:p>
    <w:p w14:paraId="00000007" w14:textId="77777777" w:rsidR="004438CD" w:rsidRDefault="001C7610">
      <w:r>
        <w:t xml:space="preserve">High school students (and their families and counselors) would do well to consider the concept of “goodness of fit” in weighing college applications. The experience of attending a large urban college will be very different from attending a small rural school. Some colleges are more structured and supportive than others. Distance from home can also make a difference in a young college student’s comfort with and adjustment to life in college, (see: </w:t>
      </w:r>
      <w:hyperlink r:id="rId7">
        <w:r>
          <w:rPr>
            <w:color w:val="0563C1"/>
            <w:u w:val="single"/>
          </w:rPr>
          <w:t>https://www.settogo.org/for-students/college-in-perspective/</w:t>
        </w:r>
      </w:hyperlink>
      <w:r>
        <w:t xml:space="preserve"> for more on the range of items to consider). </w:t>
      </w:r>
    </w:p>
    <w:p w14:paraId="00000008" w14:textId="77777777" w:rsidR="004438CD" w:rsidRDefault="001C7610">
      <w:r>
        <w:t xml:space="preserve">For the young person with severe mental illness or a history of suicidal thoughts or behaviors (STB) several of these considerations will take on much more importance.  Living away from home or distance from home might be an important consideration for someone who requires a high level of oversight or supervision or easy and regular access to a home-based treatment team. </w:t>
      </w:r>
    </w:p>
    <w:p w14:paraId="00000009" w14:textId="77777777" w:rsidR="004438CD" w:rsidRDefault="001C7610">
      <w:r>
        <w:t xml:space="preserve">If the decision is made that moving away from home to attend college is clinically prudent, it is important to examine both the clinical supports </w:t>
      </w:r>
      <w:sdt>
        <w:sdtPr>
          <w:tag w:val="goog_rdk_0"/>
          <w:id w:val="1470932955"/>
        </w:sdtPr>
        <w:sdtEndPr/>
        <w:sdtContent/>
      </w:sdt>
      <w:sdt>
        <w:sdtPr>
          <w:tag w:val="goog_rdk_1"/>
          <w:id w:val="-588000891"/>
        </w:sdtPr>
        <w:sdtEndPr/>
        <w:sdtContent/>
      </w:sdt>
      <w:sdt>
        <w:sdtPr>
          <w:tag w:val="goog_rdk_2"/>
          <w:id w:val="929162874"/>
        </w:sdtPr>
        <w:sdtEndPr/>
        <w:sdtContent/>
      </w:sdt>
      <w:r>
        <w:t>available at colleges to which the student will apply and the community and the range of other relevant support services. Colleges differ widely in their culture and support but by in large smaller schools tend to have more structure, oversight and support of students. It is important to examine the residence hall structure-are there adequate numbers of and adequately trained Resident Assistants? Are freshmen provided more highly supervised living accommodations? Is there a comprehensive and engaging orientation program for freshmen and are students assigned an academic adviser who gets to know them (it can be useful to find out how many advisees each adviser is assigned).</w:t>
      </w:r>
    </w:p>
    <w:p w14:paraId="0000000A" w14:textId="77777777" w:rsidR="004438CD" w:rsidRDefault="001C7610">
      <w:bookmarkStart w:id="1" w:name="_heading=h.30j0zll" w:colFirst="0" w:colLast="0"/>
      <w:bookmarkEnd w:id="1"/>
      <w:r>
        <w:t xml:space="preserve">It is very important to assess the range of specific student support services at colleges in which the student has an interest. There is no national legal mandate for colleges to provide mental health services to their students, but most colleges do provide some range of services and almost all have an office set up to support students with a range of disabilities. Typically (but not always) colleges with a large residential population provide more support services for their students since students living at or near school are more likely to turn to their school for their human services. But, schools vary dramatically as to the range and depth of services provided. You can find a lot about the schools </w:t>
      </w:r>
      <w:r>
        <w:lastRenderedPageBreak/>
        <w:t>counseling resources from the service website. Most counseling service websites will describe the range of services provided, their cost (most care is free in student counseling services) and the length of care available. Most college counseling services are set up to provide acute care and as a result will not provide care over the full span of time a student may be on campus. Also, while many services do have the capacity to prescribe psychiatric medications, about 40% do not. College counselors or parents have the option of calling a school in which a student my have an interest to inquire about the services provided. Further, it is useful to find out what facilities exist for continued care outside the counseling service and what availability is of emergency services should there be a need for an urgent hospitalization.</w:t>
      </w:r>
    </w:p>
    <w:p w14:paraId="0000000B" w14:textId="77777777" w:rsidR="004438CD" w:rsidRDefault="001C7610">
      <w:r>
        <w:t>Many college students with severe mental illness or STB might need accommodations at some point from the office for students with disabilities. It is important to find out whether the office has experience in supporting students with this range of problems since in many cases, the bulk of their work is in supporting students with learning disabilities. Since the COVID-19 pandemic, these offices have been responding to significantly more accommodation requests for students with emotional disabilities. Students, counselors and parents should also be aware that at the college level, students must register with the office and provide supporting documentation in order to be eligible for accommodations.</w:t>
      </w:r>
    </w:p>
    <w:p w14:paraId="0000000C" w14:textId="77777777" w:rsidR="004438CD" w:rsidRDefault="001C7610">
      <w:r>
        <w:t>The other important consideration in evaluating colleges is their student friendliness and flexibility in managing medical/mental health leaves of absence should these become necessary. The college policy should ideally be readily available on the college website and should allow for a student in crisis to take time off without undue difficulty and should provide a clear and transparent pathway to returning to school when the student is doing better. Policies for medical and mental health leaves should as much as practical be similar to each other and there should not be required periods away from school as a part of the leave policy.</w:t>
      </w:r>
    </w:p>
    <w:p w14:paraId="0000000D" w14:textId="77777777" w:rsidR="004438CD" w:rsidRDefault="001C7610">
      <w:pPr>
        <w:rPr>
          <w:b/>
        </w:rPr>
      </w:pPr>
      <w:r>
        <w:rPr>
          <w:b/>
        </w:rPr>
        <w:t>The Transition</w:t>
      </w:r>
    </w:p>
    <w:p w14:paraId="0000000E" w14:textId="77777777" w:rsidR="004438CD" w:rsidRDefault="001C7610">
      <w:pPr>
        <w:rPr>
          <w:i/>
        </w:rPr>
      </w:pPr>
      <w:r>
        <w:rPr>
          <w:i/>
        </w:rPr>
        <w:t>Transition of care plan</w:t>
      </w:r>
    </w:p>
    <w:p w14:paraId="0000000F" w14:textId="7E8A9E3E" w:rsidR="004438CD" w:rsidRDefault="001C7610">
      <w:bookmarkStart w:id="2" w:name="_heading=h.1fob9te" w:colFirst="0" w:colLast="0"/>
      <w:bookmarkEnd w:id="2"/>
      <w:r>
        <w:t xml:space="preserve">In helping a student with a history of major mental health problems or STB, it is imperative to establish a plan for transitioning of their mental health care that is coherent and comprehensive. This should happen in consultation among the student, family, home-based clinicians and ideally college-based counseling staff. If the student will be remaining at home, the considerations will be relatively straightforward since it will be likely that the student can retain their current providers (unless they are aging out of a pediatric mental health setting). If the student will be moving away from home, there must be a careful review of available treatment options at their college or in the local community, how accessible and affordable they are and whether they have the array of services to safely support the needs of the student. If the student is going to be moving to a school that is close to their home or plans to return home regularly there may be an option to continue care with the home-based clinicians during school breaks and/or through telemedicine contact. If this is the agreed upon plan it is beneficial for there to be a contact at the college counseling service who is aware of the situation and can step in when urgent or school focused support is needed. Consideration should also be given to how medications can be continued for those needing ongoing medication management. </w:t>
      </w:r>
      <w:r w:rsidR="00183A96">
        <w:t xml:space="preserve">Terri Erbacher notes that when she has </w:t>
      </w:r>
      <w:r w:rsidR="00183A96" w:rsidRPr="00183A96">
        <w:t xml:space="preserve">a high school student transitioning to college, </w:t>
      </w:r>
      <w:r w:rsidR="00183A96">
        <w:t xml:space="preserve">she </w:t>
      </w:r>
      <w:r w:rsidR="00183A96" w:rsidRPr="00183A96">
        <w:t>review</w:t>
      </w:r>
      <w:r w:rsidR="00183A96">
        <w:t>s</w:t>
      </w:r>
      <w:r w:rsidR="00183A96" w:rsidRPr="00183A96">
        <w:t xml:space="preserve"> WHERE the counseling center is, print</w:t>
      </w:r>
      <w:r w:rsidR="00183A96">
        <w:t>s</w:t>
      </w:r>
      <w:r w:rsidR="00183A96" w:rsidRPr="00183A96">
        <w:t xml:space="preserve"> a map, mark</w:t>
      </w:r>
      <w:r w:rsidR="00183A96">
        <w:t>s</w:t>
      </w:r>
      <w:r w:rsidR="00183A96" w:rsidRPr="00183A96">
        <w:t xml:space="preserve"> it, and mark</w:t>
      </w:r>
      <w:r w:rsidR="00183A96">
        <w:t>s</w:t>
      </w:r>
      <w:r w:rsidR="00183A96" w:rsidRPr="00183A96">
        <w:t xml:space="preserve"> a route there from the dorm</w:t>
      </w:r>
      <w:r w:rsidR="00183A96">
        <w:t>.</w:t>
      </w:r>
    </w:p>
    <w:p w14:paraId="00000010" w14:textId="77777777" w:rsidR="004438CD" w:rsidRDefault="001C7610">
      <w:r>
        <w:lastRenderedPageBreak/>
        <w:t xml:space="preserve">You can learn more about transition of care planning here:  </w:t>
      </w:r>
      <w:hyperlink r:id="rId8">
        <w:r>
          <w:rPr>
            <w:color w:val="0563C1"/>
            <w:u w:val="single"/>
          </w:rPr>
          <w:t>https://www.settogo.org/cardstack/planning-ahead-for-your-mental-health-care-as-you-transition-to-college/</w:t>
        </w:r>
      </w:hyperlink>
      <w:r>
        <w:t xml:space="preserve"> and https://www.settogo.org/transition-of-care-guide/</w:t>
      </w:r>
    </w:p>
    <w:p w14:paraId="00000011" w14:textId="77777777" w:rsidR="004438CD" w:rsidRDefault="004438CD"/>
    <w:p w14:paraId="00000012" w14:textId="77777777" w:rsidR="004438CD" w:rsidRDefault="004438CD"/>
    <w:p w14:paraId="00000013" w14:textId="77777777" w:rsidR="004438CD" w:rsidRDefault="001C7610">
      <w:pPr>
        <w:rPr>
          <w:i/>
        </w:rPr>
      </w:pPr>
      <w:r>
        <w:rPr>
          <w:i/>
        </w:rPr>
        <w:t>Emergency and communications plan</w:t>
      </w:r>
    </w:p>
    <w:p w14:paraId="00000014" w14:textId="77777777" w:rsidR="004438CD" w:rsidRDefault="001C7610">
      <w:r>
        <w:t>Just as it is essential for students with history of STB to have a treatment continuation plan, it is also very important to develop a communications plan that addresses both routine circumstances and emergencies that could emerge. Before the student leaves for school, there should be a discussion among the student, family and clinicians regarding a sensible and prudent level of communication and “checking in”. There might also be plans developed with cooperation of counseling center, student services, residential life leadership and the campus disabilities office about how emerging problems will be handled. It is of course best to rally clinical support with a potentially at-risk student before a crisis emerges and if the student has a typical clinical picture that indicates an emerging problem, those indicators might be shared and an agreement made that if these problems begin to emerge, a call will be made to the student’s family by campus staff. These plans should of course happen with the assent of the student and can be done as an “advance directive” since in general, campus staff cannot communicate with family unless there is a health or safety emergency.</w:t>
      </w:r>
    </w:p>
    <w:p w14:paraId="00000015" w14:textId="77777777" w:rsidR="004438CD" w:rsidRDefault="001C7610">
      <w:r>
        <w:t>To learn more about establishing a communication and emergency plan see: https://www.settogo.org/starting-the-conversation-college-and-your-students-mental-health/</w:t>
      </w:r>
    </w:p>
    <w:p w14:paraId="00000016" w14:textId="77777777" w:rsidR="004438CD" w:rsidRDefault="004438CD"/>
    <w:p w14:paraId="00000017" w14:textId="77777777" w:rsidR="004438CD" w:rsidRDefault="001C7610">
      <w:pPr>
        <w:rPr>
          <w:i/>
        </w:rPr>
      </w:pPr>
      <w:r>
        <w:rPr>
          <w:i/>
        </w:rPr>
        <w:t>Insurance</w:t>
      </w:r>
    </w:p>
    <w:p w14:paraId="00000018" w14:textId="77777777" w:rsidR="004438CD" w:rsidRDefault="001C7610">
      <w:r>
        <w:t xml:space="preserve">While it may be possible for many students to receive the care and support they need with campus and home-based mental health resources, it still may be possible that the student will need care in a local clinic, emergency department or inpatient facility near to school should am emergency emerge. Students and their families should make certain that they carry medical insurance that will allow them to access emergency or other needed care in the area of their college. They should also make sure that there is a plan to cover the cost of ongoing medication should this need emerge. </w:t>
      </w:r>
    </w:p>
    <w:p w14:paraId="00000019" w14:textId="77777777" w:rsidR="004438CD" w:rsidRDefault="001C7610">
      <w:pPr>
        <w:rPr>
          <w:b/>
        </w:rPr>
      </w:pPr>
      <w:r>
        <w:rPr>
          <w:b/>
        </w:rPr>
        <w:t>Conclusion</w:t>
      </w:r>
    </w:p>
    <w:p w14:paraId="0000001A" w14:textId="77777777" w:rsidR="004438CD" w:rsidRDefault="001C7610">
      <w:r>
        <w:t xml:space="preserve">In recent years, colleges have made significant strides in providing a broader and more structured array of supports to students with a range of physical and mental health problems, but resources and programs vary widely. Careful research, planning and decision making can make the transition to college and the ongoing college experience smoother and safer for young people with serious mental health problems.   </w:t>
      </w:r>
    </w:p>
    <w:p w14:paraId="0000001B" w14:textId="77777777" w:rsidR="004438CD" w:rsidRDefault="001C7610">
      <w:r>
        <w:t xml:space="preserve">  </w:t>
      </w:r>
    </w:p>
    <w:p w14:paraId="0000001C" w14:textId="77777777" w:rsidR="004438CD" w:rsidRDefault="004438CD"/>
    <w:sectPr w:rsidR="004438CD">
      <w:footerReference w:type="even" r:id="rId9"/>
      <w:footerReference w:type="default" r:id="rId10"/>
      <w:footerReference w:type="first" r:id="rId1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7D356" w14:textId="77777777" w:rsidR="003566B9" w:rsidRDefault="003566B9">
      <w:pPr>
        <w:spacing w:after="0" w:line="240" w:lineRule="auto"/>
      </w:pPr>
      <w:r>
        <w:separator/>
      </w:r>
    </w:p>
  </w:endnote>
  <w:endnote w:type="continuationSeparator" w:id="0">
    <w:p w14:paraId="036F0D01" w14:textId="77777777" w:rsidR="003566B9" w:rsidRDefault="003566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A2DF0" w14:textId="77777777" w:rsidR="00BC211D" w:rsidRDefault="00BC21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D" w14:textId="4DB5FDE7" w:rsidR="004438CD" w:rsidRDefault="001C7610">
    <w:pPr>
      <w:pBdr>
        <w:top w:val="nil"/>
        <w:left w:val="nil"/>
        <w:bottom w:val="nil"/>
        <w:right w:val="nil"/>
        <w:between w:val="nil"/>
      </w:pBdr>
      <w:tabs>
        <w:tab w:val="center" w:pos="4680"/>
        <w:tab w:val="right" w:pos="9360"/>
      </w:tabs>
      <w:spacing w:after="0" w:line="240" w:lineRule="auto"/>
      <w:rPr>
        <w:color w:val="000000"/>
      </w:rPr>
    </w:pPr>
    <w:r>
      <w:rPr>
        <w:color w:val="000000"/>
        <w:sz w:val="16"/>
        <w:szCs w:val="16"/>
      </w:rPr>
      <w:t xml:space="preserve">© Terri A. Erbacher, Jonathan B. Singer &amp; Scott Poland. </w:t>
    </w:r>
    <w:r>
      <w:rPr>
        <w:i/>
        <w:color w:val="000000"/>
        <w:sz w:val="16"/>
        <w:szCs w:val="16"/>
      </w:rPr>
      <w:t>Suicide in Schools: A Practitioner's Guide to Multi-level Prevention, Assessment, Intervention, and Postvention, 2</w:t>
    </w:r>
    <w:r>
      <w:rPr>
        <w:i/>
        <w:color w:val="000000"/>
        <w:sz w:val="16"/>
        <w:szCs w:val="16"/>
        <w:vertAlign w:val="superscript"/>
      </w:rPr>
      <w:t>nd</w:t>
    </w:r>
    <w:r>
      <w:rPr>
        <w:i/>
        <w:color w:val="000000"/>
        <w:sz w:val="16"/>
        <w:szCs w:val="16"/>
      </w:rPr>
      <w:t xml:space="preserve"> Ed. </w:t>
    </w:r>
    <w:r>
      <w:rPr>
        <w:color w:val="000000"/>
        <w:sz w:val="16"/>
        <w:szCs w:val="16"/>
      </w:rPr>
      <w:t>Routledge, 202</w:t>
    </w:r>
    <w:r w:rsidR="00183A96">
      <w:rPr>
        <w:color w:val="000000"/>
        <w:sz w:val="16"/>
        <w:szCs w:val="16"/>
      </w:rPr>
      <w:t>3</w:t>
    </w:r>
    <w:r>
      <w:rPr>
        <w:color w:val="000000"/>
        <w:sz w:val="16"/>
        <w:szCs w:val="16"/>
      </w:rPr>
      <w:t>. Permission to reproduce is granted to purchasers of this text.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87067" w14:textId="77777777" w:rsidR="00BC211D" w:rsidRDefault="00BC21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85B2A" w14:textId="77777777" w:rsidR="003566B9" w:rsidRDefault="003566B9">
      <w:pPr>
        <w:spacing w:after="0" w:line="240" w:lineRule="auto"/>
      </w:pPr>
      <w:r>
        <w:separator/>
      </w:r>
    </w:p>
  </w:footnote>
  <w:footnote w:type="continuationSeparator" w:id="0">
    <w:p w14:paraId="64DFEACF" w14:textId="77777777" w:rsidR="003566B9" w:rsidRDefault="003566B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yNjA1BpKmhkYWRko6SsGpxcWZ+XkgBYa1AK+b/T4sAAAA"/>
  </w:docVars>
  <w:rsids>
    <w:rsidRoot w:val="004438CD"/>
    <w:rsid w:val="00183A96"/>
    <w:rsid w:val="001C7610"/>
    <w:rsid w:val="003566B9"/>
    <w:rsid w:val="004438CD"/>
    <w:rsid w:val="00BC211D"/>
    <w:rsid w:val="00FD2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D7173"/>
  <w15:docId w15:val="{11ED777B-395D-4A88-A376-2DA0DCCD3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basedOn w:val="DefaultParagraphFont"/>
    <w:uiPriority w:val="99"/>
    <w:unhideWhenUsed/>
    <w:rsid w:val="00B374FC"/>
    <w:rPr>
      <w:color w:val="0563C1" w:themeColor="hyperlink"/>
      <w:u w:val="single"/>
    </w:rPr>
  </w:style>
  <w:style w:type="character" w:customStyle="1" w:styleId="UnresolvedMention1">
    <w:name w:val="Unresolved Mention1"/>
    <w:basedOn w:val="DefaultParagraphFont"/>
    <w:uiPriority w:val="99"/>
    <w:semiHidden/>
    <w:unhideWhenUsed/>
    <w:rsid w:val="00B374FC"/>
    <w:rPr>
      <w:color w:val="605E5C"/>
      <w:shd w:val="clear" w:color="auto" w:fill="E1DFDD"/>
    </w:rPr>
  </w:style>
  <w:style w:type="character" w:styleId="CommentReference">
    <w:name w:val="annotation reference"/>
    <w:basedOn w:val="DefaultParagraphFont"/>
    <w:uiPriority w:val="99"/>
    <w:semiHidden/>
    <w:unhideWhenUsed/>
    <w:rsid w:val="00911715"/>
    <w:rPr>
      <w:sz w:val="16"/>
      <w:szCs w:val="16"/>
    </w:rPr>
  </w:style>
  <w:style w:type="paragraph" w:styleId="CommentText">
    <w:name w:val="annotation text"/>
    <w:basedOn w:val="Normal"/>
    <w:link w:val="CommentTextChar"/>
    <w:uiPriority w:val="99"/>
    <w:unhideWhenUsed/>
    <w:rsid w:val="00911715"/>
    <w:pPr>
      <w:spacing w:line="240" w:lineRule="auto"/>
    </w:pPr>
    <w:rPr>
      <w:sz w:val="20"/>
      <w:szCs w:val="20"/>
    </w:rPr>
  </w:style>
  <w:style w:type="character" w:customStyle="1" w:styleId="CommentTextChar">
    <w:name w:val="Comment Text Char"/>
    <w:basedOn w:val="DefaultParagraphFont"/>
    <w:link w:val="CommentText"/>
    <w:uiPriority w:val="99"/>
    <w:rsid w:val="00911715"/>
    <w:rPr>
      <w:sz w:val="20"/>
      <w:szCs w:val="20"/>
    </w:rPr>
  </w:style>
  <w:style w:type="paragraph" w:styleId="CommentSubject">
    <w:name w:val="annotation subject"/>
    <w:basedOn w:val="CommentText"/>
    <w:next w:val="CommentText"/>
    <w:link w:val="CommentSubjectChar"/>
    <w:uiPriority w:val="99"/>
    <w:semiHidden/>
    <w:unhideWhenUsed/>
    <w:rsid w:val="00911715"/>
    <w:rPr>
      <w:b/>
      <w:bCs/>
    </w:rPr>
  </w:style>
  <w:style w:type="character" w:customStyle="1" w:styleId="CommentSubjectChar">
    <w:name w:val="Comment Subject Char"/>
    <w:basedOn w:val="CommentTextChar"/>
    <w:link w:val="CommentSubject"/>
    <w:uiPriority w:val="99"/>
    <w:semiHidden/>
    <w:rsid w:val="00911715"/>
    <w:rPr>
      <w:b/>
      <w:bCs/>
      <w:sz w:val="20"/>
      <w:szCs w:val="20"/>
    </w:rPr>
  </w:style>
  <w:style w:type="paragraph" w:styleId="BalloonText">
    <w:name w:val="Balloon Text"/>
    <w:basedOn w:val="Normal"/>
    <w:link w:val="BalloonTextChar"/>
    <w:uiPriority w:val="99"/>
    <w:semiHidden/>
    <w:unhideWhenUsed/>
    <w:rsid w:val="009117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1715"/>
    <w:rPr>
      <w:rFonts w:ascii="Tahoma" w:hAnsi="Tahoma" w:cs="Tahoma"/>
      <w:sz w:val="16"/>
      <w:szCs w:val="16"/>
    </w:rPr>
  </w:style>
  <w:style w:type="character" w:styleId="FollowedHyperlink">
    <w:name w:val="FollowedHyperlink"/>
    <w:basedOn w:val="DefaultParagraphFont"/>
    <w:uiPriority w:val="99"/>
    <w:semiHidden/>
    <w:unhideWhenUsed/>
    <w:rsid w:val="00F51C2D"/>
    <w:rPr>
      <w:color w:val="954F72" w:themeColor="followedHyperlink"/>
      <w:u w:val="single"/>
    </w:rPr>
  </w:style>
  <w:style w:type="paragraph" w:styleId="Revision">
    <w:name w:val="Revision"/>
    <w:hidden/>
    <w:uiPriority w:val="99"/>
    <w:semiHidden/>
    <w:rsid w:val="00C56D8F"/>
    <w:pPr>
      <w:spacing w:after="0" w:line="240" w:lineRule="auto"/>
    </w:pPr>
  </w:style>
  <w:style w:type="paragraph" w:styleId="Header">
    <w:name w:val="header"/>
    <w:basedOn w:val="Normal"/>
    <w:link w:val="HeaderChar"/>
    <w:uiPriority w:val="99"/>
    <w:unhideWhenUsed/>
    <w:rsid w:val="00437D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7D82"/>
  </w:style>
  <w:style w:type="paragraph" w:styleId="Footer">
    <w:name w:val="footer"/>
    <w:basedOn w:val="Normal"/>
    <w:link w:val="FooterChar"/>
    <w:uiPriority w:val="99"/>
    <w:unhideWhenUsed/>
    <w:rsid w:val="00437D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7D82"/>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settogo.org/cardstack/planning-ahead-for-your-mental-health-care-as-you-transition-to-colleg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ettogo.org/for-students/college-in-perspectiv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BY3AOPw+O+9T7i/r3n587I/Ia6g==">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1512</Words>
  <Characters>8620</Characters>
  <Application>Microsoft Office Word</Application>
  <DocSecurity>4</DocSecurity>
  <Lines>71</Lines>
  <Paragraphs>20</Paragraphs>
  <ScaleCrop>false</ScaleCrop>
  <Company/>
  <LinksUpToDate>false</LinksUpToDate>
  <CharactersWithSpaces>10112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dc:creator>
  <cp:lastModifiedBy>Broadhurst, Ellie</cp:lastModifiedBy>
  <cp:revision>2</cp:revision>
  <dcterms:created xsi:type="dcterms:W3CDTF">2024-01-05T15:15:00Z</dcterms:created>
  <dcterms:modified xsi:type="dcterms:W3CDTF">2024-01-05T15:15:00Z</dcterms:modified>
</cp:coreProperties>
</file>